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4C78949A" w:rsidR="005944A5" w:rsidRPr="008C2B0E" w:rsidRDefault="00021B55" w:rsidP="008C2B0E">
      <w:pPr>
        <w:spacing w:line="276" w:lineRule="auto"/>
        <w:rPr>
          <w:rFonts w:cstheme="minorHAnsi"/>
          <w:sz w:val="24"/>
          <w:szCs w:val="24"/>
        </w:rPr>
      </w:pPr>
      <w:r w:rsidRPr="008C2B0E">
        <w:rPr>
          <w:rFonts w:cstheme="minorHAnsi"/>
          <w:sz w:val="24"/>
          <w:szCs w:val="24"/>
        </w:rPr>
        <w:t xml:space="preserve">Załącznik nr </w:t>
      </w:r>
      <w:r w:rsidR="006F041A" w:rsidRPr="008C2B0E">
        <w:rPr>
          <w:rFonts w:cstheme="minorHAnsi"/>
          <w:sz w:val="24"/>
          <w:szCs w:val="24"/>
        </w:rPr>
        <w:t>3</w:t>
      </w:r>
      <w:r w:rsidR="00C13CB5">
        <w:rPr>
          <w:rFonts w:cstheme="minorHAnsi"/>
          <w:sz w:val="24"/>
          <w:szCs w:val="24"/>
        </w:rPr>
        <w:t>A</w:t>
      </w:r>
      <w:r w:rsidRPr="008C2B0E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8C2B0E" w:rsidRDefault="00021B55" w:rsidP="008C2B0E">
      <w:pPr>
        <w:pStyle w:val="Nagwek1"/>
        <w:spacing w:line="276" w:lineRule="auto"/>
        <w:rPr>
          <w:rFonts w:cstheme="minorHAnsi"/>
        </w:rPr>
      </w:pPr>
      <w:r w:rsidRPr="008C2B0E">
        <w:rPr>
          <w:rFonts w:cstheme="minorHAnsi"/>
        </w:rPr>
        <w:t>Specyfikacja techniczna</w:t>
      </w:r>
    </w:p>
    <w:p w14:paraId="06F6EB87" w14:textId="515589F6" w:rsidR="00021B55" w:rsidRPr="008C2B0E" w:rsidRDefault="00021B55" w:rsidP="008C2B0E">
      <w:pPr>
        <w:pStyle w:val="Nagwek1"/>
        <w:spacing w:line="276" w:lineRule="auto"/>
        <w:rPr>
          <w:rFonts w:cstheme="minorHAnsi"/>
        </w:rPr>
      </w:pPr>
      <w:r w:rsidRPr="008C2B0E">
        <w:rPr>
          <w:rFonts w:cstheme="minorHAnsi"/>
        </w:rPr>
        <w:t xml:space="preserve">Zadanie </w:t>
      </w:r>
      <w:r w:rsidR="00C13CB5">
        <w:rPr>
          <w:rFonts w:cstheme="minorHAnsi"/>
        </w:rPr>
        <w:t>2</w:t>
      </w:r>
      <w:r w:rsidRPr="008C2B0E">
        <w:rPr>
          <w:rFonts w:cstheme="minorHAnsi"/>
        </w:rPr>
        <w:t xml:space="preserve">: </w:t>
      </w:r>
      <w:r w:rsidR="00097C01" w:rsidRPr="008C2B0E">
        <w:rPr>
          <w:rFonts w:cstheme="minorHAnsi"/>
        </w:rPr>
        <w:t xml:space="preserve">Sprzęt medyczny </w:t>
      </w:r>
    </w:p>
    <w:p w14:paraId="49B63C6F" w14:textId="5B70D0B5" w:rsidR="00021B55" w:rsidRPr="008C2B0E" w:rsidRDefault="00021B55" w:rsidP="008C2B0E">
      <w:pPr>
        <w:pStyle w:val="Nagwek2"/>
        <w:spacing w:after="0" w:line="276" w:lineRule="auto"/>
      </w:pPr>
      <w:r w:rsidRPr="008C2B0E">
        <w:t xml:space="preserve">Specyfikacja nr </w:t>
      </w:r>
      <w:r w:rsidR="00F45AF4" w:rsidRPr="008C2B0E">
        <w:t>4</w:t>
      </w:r>
      <w:r w:rsidRPr="008C2B0E">
        <w:t>:</w:t>
      </w:r>
      <w:r w:rsidR="00AD39DF" w:rsidRPr="008C2B0E">
        <w:t xml:space="preserve"> </w:t>
      </w:r>
      <w:r w:rsidR="00256C93" w:rsidRPr="008C2B0E">
        <w:rPr>
          <w:bCs/>
        </w:rPr>
        <w:t xml:space="preserve">Pompa infuzyjna </w:t>
      </w:r>
      <w:r w:rsidR="00C822C3" w:rsidRPr="008C2B0E">
        <w:rPr>
          <w:bCs/>
        </w:rPr>
        <w:t xml:space="preserve">- </w:t>
      </w:r>
      <w:r w:rsidR="00F45AF4" w:rsidRPr="008C2B0E">
        <w:t>5 sztuk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8C2B0E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8C2B0E" w:rsidRDefault="00E20DEF" w:rsidP="008C2B0E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8C2B0E" w:rsidRDefault="00E20DEF" w:rsidP="008C2B0E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C2B0E">
              <w:rPr>
                <w:rFonts w:asciiTheme="minorHAnsi" w:hAnsiTheme="minorHAnsi" w:cstheme="minorHAnsi"/>
              </w:rPr>
              <w:t xml:space="preserve">Rodzaj </w:t>
            </w:r>
            <w:r w:rsidR="00DF71BA" w:rsidRPr="008C2B0E">
              <w:rPr>
                <w:rFonts w:asciiTheme="minorHAnsi" w:hAnsiTheme="minorHAnsi" w:cstheme="minorHAnsi"/>
              </w:rPr>
              <w:t>sprzętu</w:t>
            </w:r>
            <w:r w:rsidRPr="008C2B0E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8C2B0E">
              <w:rPr>
                <w:rFonts w:asciiTheme="minorHAnsi" w:hAnsiTheme="minorHAnsi" w:cstheme="minorHAnsi"/>
              </w:rPr>
              <w:t>e</w:t>
            </w:r>
            <w:r w:rsidRPr="008C2B0E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8C2B0E" w:rsidRDefault="00E20DEF" w:rsidP="008C2B0E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8C2B0E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8C2B0E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8C2B0E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8C2B0E" w:rsidRDefault="00E20DEF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300B9E11" w:rsidR="00E20DEF" w:rsidRPr="00DB0212" w:rsidRDefault="00256C93" w:rsidP="008C2B0E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DB0212">
              <w:rPr>
                <w:rFonts w:asciiTheme="minorHAnsi" w:hAnsiTheme="minorHAnsi" w:cstheme="minorHAnsi"/>
                <w:b w:val="0"/>
                <w:bCs w:val="0"/>
              </w:rPr>
              <w:t>Pompa infuzyjna</w:t>
            </w:r>
          </w:p>
        </w:tc>
        <w:tc>
          <w:tcPr>
            <w:tcW w:w="3824" w:type="dxa"/>
          </w:tcPr>
          <w:p w14:paraId="323F9AA9" w14:textId="77777777" w:rsidR="00D22B51" w:rsidRPr="008C2B0E" w:rsidRDefault="00D22B51" w:rsidP="008C2B0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C2B0E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4D1D1472" w:rsidR="00E20DEF" w:rsidRPr="008C2B0E" w:rsidRDefault="00D22B51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256C93" w:rsidRPr="008C2B0E" w14:paraId="321D37CF" w14:textId="77777777" w:rsidTr="00A155F0">
        <w:tc>
          <w:tcPr>
            <w:tcW w:w="704" w:type="dxa"/>
            <w:vAlign w:val="center"/>
          </w:tcPr>
          <w:p w14:paraId="75EA4C8E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EFAC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Możliwość stosowania zestawów infuzyjnych do podaży:</w:t>
            </w:r>
          </w:p>
          <w:p w14:paraId="262F65C3" w14:textId="77777777" w:rsidR="00256C93" w:rsidRPr="008C2B0E" w:rsidRDefault="00256C93" w:rsidP="008C2B0E">
            <w:pPr>
              <w:numPr>
                <w:ilvl w:val="0"/>
                <w:numId w:val="22"/>
              </w:numPr>
              <w:suppressAutoHyphens/>
              <w:snapToGrid w:val="0"/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leków standardowych, płynów infuzyjnych i cytostatyków (zestawy nie zawierające ftalanów (DEHP-free) oraz lateksu),</w:t>
            </w:r>
          </w:p>
          <w:p w14:paraId="035FC03C" w14:textId="77777777" w:rsidR="00256C93" w:rsidRPr="008C2B0E" w:rsidRDefault="00256C93" w:rsidP="008C2B0E">
            <w:pPr>
              <w:numPr>
                <w:ilvl w:val="0"/>
                <w:numId w:val="22"/>
              </w:numPr>
              <w:suppressAutoHyphens/>
              <w:snapToGrid w:val="0"/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żywienia pozajelitowego i żywienia dojelitowego,</w:t>
            </w:r>
          </w:p>
          <w:p w14:paraId="3887DDA5" w14:textId="7344ED0B" w:rsidR="00256C93" w:rsidRPr="00E657D6" w:rsidRDefault="00256C93" w:rsidP="008C2B0E">
            <w:pPr>
              <w:numPr>
                <w:ilvl w:val="0"/>
                <w:numId w:val="22"/>
              </w:numPr>
              <w:suppressAutoHyphens/>
              <w:snapToGrid w:val="0"/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leków światłoczułych,</w:t>
            </w:r>
            <w:r w:rsidR="00E657D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657D6">
              <w:rPr>
                <w:rFonts w:cstheme="minorHAnsi"/>
                <w:sz w:val="24"/>
                <w:szCs w:val="24"/>
              </w:rPr>
              <w:t>krwi i preparatów krwiopochodnych</w:t>
            </w:r>
          </w:p>
        </w:tc>
        <w:tc>
          <w:tcPr>
            <w:tcW w:w="3824" w:type="dxa"/>
          </w:tcPr>
          <w:p w14:paraId="3BC277D4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EDD7D50" w14:textId="2E7BD5F6" w:rsidR="00256C93" w:rsidRPr="008C2B0E" w:rsidRDefault="00BE23FD" w:rsidP="00BE23F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83B87F7" w14:textId="77777777" w:rsidTr="00A155F0">
        <w:tc>
          <w:tcPr>
            <w:tcW w:w="704" w:type="dxa"/>
            <w:vAlign w:val="center"/>
          </w:tcPr>
          <w:p w14:paraId="25F2E08F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0D" w14:textId="04FF2090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Klawiatura symboliczna i fizyczna (nie wyświetlana na ekranie) klawiatura alfanumeryczna umożliwiająca intuicyjne programowanie infuzji oraz obsługę pompy</w:t>
            </w:r>
          </w:p>
        </w:tc>
        <w:tc>
          <w:tcPr>
            <w:tcW w:w="3824" w:type="dxa"/>
          </w:tcPr>
          <w:p w14:paraId="3DB252CF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7D1F9C26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36C938EC" w14:textId="77777777" w:rsidTr="00A155F0">
        <w:tc>
          <w:tcPr>
            <w:tcW w:w="704" w:type="dxa"/>
            <w:vAlign w:val="center"/>
          </w:tcPr>
          <w:p w14:paraId="2EDBE520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0A9" w14:textId="3646C6B1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 xml:space="preserve">Mechanizm zabezpieczający przed swobodnym przepływem grawitacyjnym składający się z dwóch elementów – jeden w pompie i </w:t>
            </w:r>
            <w:r w:rsidRPr="008C2B0E">
              <w:rPr>
                <w:rFonts w:cstheme="minorHAnsi"/>
                <w:color w:val="000000"/>
                <w:sz w:val="24"/>
                <w:szCs w:val="24"/>
              </w:rPr>
              <w:t xml:space="preserve">drugi </w:t>
            </w:r>
            <w:r w:rsidRPr="008C2B0E">
              <w:rPr>
                <w:rFonts w:cstheme="minorHAnsi"/>
                <w:sz w:val="24"/>
                <w:szCs w:val="24"/>
              </w:rPr>
              <w:t>na zestawie infuzyjnym</w:t>
            </w:r>
          </w:p>
        </w:tc>
        <w:tc>
          <w:tcPr>
            <w:tcW w:w="3824" w:type="dxa"/>
          </w:tcPr>
          <w:p w14:paraId="04E2F731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1231D57D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24808D56" w14:textId="77777777" w:rsidTr="00A155F0">
        <w:tc>
          <w:tcPr>
            <w:tcW w:w="704" w:type="dxa"/>
            <w:vAlign w:val="center"/>
          </w:tcPr>
          <w:p w14:paraId="6099768C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744" w14:textId="7002009C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sz w:val="24"/>
                <w:szCs w:val="24"/>
              </w:rPr>
              <w:t>Możliwość odłączania detektora kropli</w:t>
            </w:r>
          </w:p>
        </w:tc>
        <w:tc>
          <w:tcPr>
            <w:tcW w:w="3824" w:type="dxa"/>
          </w:tcPr>
          <w:p w14:paraId="473F117F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598F1EB6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D39B0D2" w14:textId="77777777" w:rsidTr="00A155F0">
        <w:tc>
          <w:tcPr>
            <w:tcW w:w="704" w:type="dxa"/>
            <w:vAlign w:val="center"/>
          </w:tcPr>
          <w:p w14:paraId="72BAF33B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A38" w14:textId="17DE5F61" w:rsidR="00256C93" w:rsidRPr="00C13CB5" w:rsidRDefault="00256C93" w:rsidP="008C2B0E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13CB5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  <w:t>Możliwość usunięcia zestawu infuzyjnego z pompy w trybie wyłączonym  z podłączonym i odłączonym zasilaniem zewnętrznym</w:t>
            </w:r>
          </w:p>
        </w:tc>
        <w:tc>
          <w:tcPr>
            <w:tcW w:w="3824" w:type="dxa"/>
          </w:tcPr>
          <w:p w14:paraId="7C1E2AB8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2C59D5CC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75CC69DD" w14:textId="77777777" w:rsidTr="00A155F0">
        <w:tc>
          <w:tcPr>
            <w:tcW w:w="704" w:type="dxa"/>
            <w:vAlign w:val="center"/>
          </w:tcPr>
          <w:p w14:paraId="392C723C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351F" w14:textId="54414C57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color w:val="000000"/>
                <w:sz w:val="24"/>
                <w:szCs w:val="24"/>
              </w:rPr>
              <w:t>Wykrywanie powietrza w zestawie infuzyjnym</w:t>
            </w:r>
          </w:p>
        </w:tc>
        <w:tc>
          <w:tcPr>
            <w:tcW w:w="3824" w:type="dxa"/>
          </w:tcPr>
          <w:p w14:paraId="36B8E0C6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6D93DD13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22B4E580" w14:textId="77777777" w:rsidTr="00A155F0">
        <w:tc>
          <w:tcPr>
            <w:tcW w:w="704" w:type="dxa"/>
            <w:vAlign w:val="center"/>
          </w:tcPr>
          <w:p w14:paraId="5A338B82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D32C" w14:textId="4A9696CE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color w:val="000000"/>
                <w:sz w:val="24"/>
                <w:szCs w:val="24"/>
              </w:rPr>
              <w:t>Kolorowy ekran pompy</w:t>
            </w:r>
          </w:p>
        </w:tc>
        <w:tc>
          <w:tcPr>
            <w:tcW w:w="3824" w:type="dxa"/>
          </w:tcPr>
          <w:p w14:paraId="0AA858CB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B00A489" w14:textId="77631D96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(niewłaściwe skreślić)</w:t>
            </w:r>
          </w:p>
        </w:tc>
      </w:tr>
      <w:tr w:rsidR="00256C93" w:rsidRPr="008C2B0E" w14:paraId="2167B58B" w14:textId="77777777" w:rsidTr="00A155F0">
        <w:tc>
          <w:tcPr>
            <w:tcW w:w="704" w:type="dxa"/>
            <w:vAlign w:val="center"/>
          </w:tcPr>
          <w:p w14:paraId="10D52F27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DD" w14:textId="0E2445D0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color w:val="000000"/>
                <w:sz w:val="24"/>
                <w:szCs w:val="24"/>
              </w:rPr>
              <w:t>Ekran dotykowy pompy, przyspieszający wybór parametrów</w:t>
            </w:r>
          </w:p>
        </w:tc>
        <w:tc>
          <w:tcPr>
            <w:tcW w:w="3824" w:type="dxa"/>
          </w:tcPr>
          <w:p w14:paraId="2D6A1CB2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54DB6B9" w14:textId="5ADB9295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A7F5B80" w14:textId="77777777" w:rsidTr="00A155F0">
        <w:tc>
          <w:tcPr>
            <w:tcW w:w="704" w:type="dxa"/>
            <w:vAlign w:val="center"/>
          </w:tcPr>
          <w:p w14:paraId="22AC6346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CBC" w14:textId="20970266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color w:val="000000"/>
                <w:sz w:val="24"/>
                <w:szCs w:val="24"/>
              </w:rPr>
              <w:t>Wszystkie komunikaty w pompie w języku polskim</w:t>
            </w:r>
          </w:p>
        </w:tc>
        <w:tc>
          <w:tcPr>
            <w:tcW w:w="3824" w:type="dxa"/>
          </w:tcPr>
          <w:p w14:paraId="4F5F2EE1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11965A63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2AD2BD74" w14:textId="77777777" w:rsidTr="00A155F0">
        <w:tc>
          <w:tcPr>
            <w:tcW w:w="704" w:type="dxa"/>
            <w:vAlign w:val="center"/>
          </w:tcPr>
          <w:p w14:paraId="1CE322DA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79F" w14:textId="13DADCB6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color w:val="000000"/>
                <w:sz w:val="24"/>
                <w:szCs w:val="24"/>
              </w:rPr>
              <w:t>Przekątna ekranu min. 3,2 cala</w:t>
            </w:r>
          </w:p>
        </w:tc>
        <w:tc>
          <w:tcPr>
            <w:tcW w:w="3824" w:type="dxa"/>
          </w:tcPr>
          <w:p w14:paraId="293C4CEC" w14:textId="77777777" w:rsidR="00C13CB5" w:rsidRPr="00C13CB5" w:rsidRDefault="00C13CB5" w:rsidP="00C13CB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CB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2DD31F7" w14:textId="095FC198" w:rsidR="00256C93" w:rsidRPr="008C2B0E" w:rsidRDefault="00C13CB5" w:rsidP="00C13CB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CB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2DD85ED3" w14:textId="77777777" w:rsidTr="00A155F0">
        <w:tc>
          <w:tcPr>
            <w:tcW w:w="704" w:type="dxa"/>
            <w:vAlign w:val="center"/>
          </w:tcPr>
          <w:p w14:paraId="71BAD431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5FD4" w14:textId="5C43C19E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sz w:val="24"/>
                <w:szCs w:val="24"/>
              </w:rPr>
              <w:t>Zakres szybkości dozowania min. 0,1 – 1200 ml/h</w:t>
            </w:r>
          </w:p>
        </w:tc>
        <w:tc>
          <w:tcPr>
            <w:tcW w:w="3824" w:type="dxa"/>
          </w:tcPr>
          <w:p w14:paraId="3A077AF5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D47FD97" w14:textId="4C04E072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6E83A21B" w14:textId="77777777" w:rsidTr="00A155F0">
        <w:tc>
          <w:tcPr>
            <w:tcW w:w="704" w:type="dxa"/>
            <w:vAlign w:val="center"/>
          </w:tcPr>
          <w:p w14:paraId="60BA9DBE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ABC" w14:textId="2E67BDF0" w:rsidR="00256C93" w:rsidRPr="00C13CB5" w:rsidRDefault="00256C93" w:rsidP="008C2B0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C13CB5">
              <w:rPr>
                <w:rFonts w:cstheme="minorHAnsi"/>
                <w:bCs/>
                <w:sz w:val="24"/>
                <w:szCs w:val="24"/>
              </w:rPr>
              <w:t xml:space="preserve">Dokładność infuzji </w:t>
            </w:r>
            <w:r w:rsidRPr="00C13CB5">
              <w:rPr>
                <w:rFonts w:cstheme="minorHAnsi"/>
                <w:bCs/>
                <w:color w:val="000000"/>
                <w:sz w:val="24"/>
                <w:szCs w:val="24"/>
              </w:rPr>
              <w:t>±</w:t>
            </w:r>
            <w:r w:rsidRPr="00C13CB5">
              <w:rPr>
                <w:rFonts w:cstheme="minorHAnsi"/>
                <w:bCs/>
                <w:color w:val="FF0000"/>
                <w:sz w:val="24"/>
                <w:szCs w:val="24"/>
              </w:rPr>
              <w:t xml:space="preserve"> </w:t>
            </w:r>
            <w:r w:rsidRPr="00C13CB5">
              <w:rPr>
                <w:rFonts w:cstheme="minorHAnsi"/>
                <w:bCs/>
                <w:sz w:val="24"/>
                <w:szCs w:val="24"/>
              </w:rPr>
              <w:t>5%</w:t>
            </w:r>
          </w:p>
        </w:tc>
        <w:tc>
          <w:tcPr>
            <w:tcW w:w="3824" w:type="dxa"/>
          </w:tcPr>
          <w:p w14:paraId="1F48D059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9FE0E5" w14:textId="476DAD4A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56BEDFF9" w14:textId="77777777" w:rsidTr="00A155F0">
        <w:tc>
          <w:tcPr>
            <w:tcW w:w="704" w:type="dxa"/>
            <w:vAlign w:val="center"/>
          </w:tcPr>
          <w:p w14:paraId="4AEEDBD2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8A1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Programowanie parametrów infuzji w jednostkach:</w:t>
            </w:r>
          </w:p>
          <w:p w14:paraId="3FF2A016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ml, L,</w:t>
            </w:r>
          </w:p>
          <w:p w14:paraId="59F43D4A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ng, μg, mg, g,</w:t>
            </w:r>
          </w:p>
          <w:p w14:paraId="09E01CCC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μEq, mEq, Eq,</w:t>
            </w:r>
          </w:p>
          <w:p w14:paraId="75BD7A93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mlU, IU, kIU,</w:t>
            </w:r>
          </w:p>
          <w:p w14:paraId="011449A6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mIE, IE, kIE,</w:t>
            </w:r>
          </w:p>
          <w:p w14:paraId="025A1CAE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cal, kcal,</w:t>
            </w:r>
          </w:p>
          <w:p w14:paraId="560AFB9A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line="276" w:lineRule="auto"/>
              <w:ind w:left="383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J, kJ,</w:t>
            </w:r>
          </w:p>
          <w:p w14:paraId="7E6337B7" w14:textId="77777777" w:rsidR="00256C93" w:rsidRPr="008C2B0E" w:rsidRDefault="00256C93" w:rsidP="008C2B0E">
            <w:pPr>
              <w:numPr>
                <w:ilvl w:val="0"/>
                <w:numId w:val="23"/>
              </w:numPr>
              <w:suppressAutoHyphens/>
              <w:spacing w:after="60" w:line="276" w:lineRule="auto"/>
              <w:ind w:left="380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 xml:space="preserve">mmol, mol, </w:t>
            </w:r>
          </w:p>
          <w:p w14:paraId="3F5D673C" w14:textId="77777777" w:rsidR="00256C93" w:rsidRPr="008C2B0E" w:rsidRDefault="00256C93" w:rsidP="008C2B0E">
            <w:pPr>
              <w:spacing w:line="276" w:lineRule="auto"/>
              <w:ind w:left="99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z uwzględnieniem wagi pacjenta lub nie,</w:t>
            </w:r>
          </w:p>
          <w:p w14:paraId="4873E46D" w14:textId="0F657264" w:rsidR="00256C93" w:rsidRPr="008C2B0E" w:rsidRDefault="00256C93" w:rsidP="008C2B0E">
            <w:pPr>
              <w:spacing w:line="276" w:lineRule="auto"/>
              <w:ind w:left="99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z uwzględnieniem powierzchni pacjenta lub nie,</w:t>
            </w:r>
            <w:r w:rsidR="008C2B0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8C2B0E">
              <w:rPr>
                <w:rFonts w:cstheme="minorHAnsi"/>
                <w:color w:val="000000"/>
                <w:sz w:val="24"/>
                <w:szCs w:val="24"/>
              </w:rPr>
              <w:t>na min</w:t>
            </w:r>
            <w:r w:rsidR="008C2B0E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Pr="008C2B0E">
              <w:rPr>
                <w:rFonts w:cstheme="minorHAnsi"/>
                <w:color w:val="000000"/>
                <w:sz w:val="24"/>
                <w:szCs w:val="24"/>
              </w:rPr>
              <w:t xml:space="preserve"> godz., dobę.</w:t>
            </w:r>
          </w:p>
        </w:tc>
        <w:tc>
          <w:tcPr>
            <w:tcW w:w="3824" w:type="dxa"/>
          </w:tcPr>
          <w:p w14:paraId="08D6712E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10EFAF9" w14:textId="25C0B752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FC7BB22" w14:textId="77777777" w:rsidTr="00821952">
        <w:tc>
          <w:tcPr>
            <w:tcW w:w="704" w:type="dxa"/>
            <w:vAlign w:val="center"/>
          </w:tcPr>
          <w:p w14:paraId="73A3322A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82B2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Tryby dozowania:</w:t>
            </w:r>
          </w:p>
          <w:p w14:paraId="0134A190" w14:textId="77777777" w:rsidR="00256C93" w:rsidRPr="008C2B0E" w:rsidRDefault="00256C93" w:rsidP="008C2B0E">
            <w:pPr>
              <w:numPr>
                <w:ilvl w:val="0"/>
                <w:numId w:val="24"/>
              </w:numPr>
              <w:suppressAutoHyphens/>
              <w:snapToGrid w:val="0"/>
              <w:spacing w:line="276" w:lineRule="auto"/>
              <w:ind w:hanging="261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Infuzja ciągła,</w:t>
            </w:r>
          </w:p>
          <w:p w14:paraId="5B26BBF2" w14:textId="77777777" w:rsidR="00256C93" w:rsidRPr="008C2B0E" w:rsidRDefault="00256C93" w:rsidP="008C2B0E">
            <w:pPr>
              <w:numPr>
                <w:ilvl w:val="0"/>
                <w:numId w:val="24"/>
              </w:numPr>
              <w:suppressAutoHyphens/>
              <w:snapToGrid w:val="0"/>
              <w:spacing w:line="276" w:lineRule="auto"/>
              <w:ind w:hanging="261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Infuzja okresowa (bolusowa),</w:t>
            </w:r>
          </w:p>
          <w:p w14:paraId="78051A50" w14:textId="77777777" w:rsidR="00256C93" w:rsidRPr="008C2B0E" w:rsidRDefault="00256C93" w:rsidP="008C2B0E">
            <w:pPr>
              <w:numPr>
                <w:ilvl w:val="0"/>
                <w:numId w:val="24"/>
              </w:numPr>
              <w:suppressAutoHyphens/>
              <w:snapToGrid w:val="0"/>
              <w:spacing w:line="276" w:lineRule="auto"/>
              <w:ind w:hanging="261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Infuzja profilowa (24 kroki infuzji),</w:t>
            </w:r>
          </w:p>
          <w:p w14:paraId="56C865E0" w14:textId="41E21742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Infuzja TPN (narastanie / utrzymanie / opadanie)</w:t>
            </w:r>
          </w:p>
        </w:tc>
        <w:tc>
          <w:tcPr>
            <w:tcW w:w="3824" w:type="dxa"/>
          </w:tcPr>
          <w:p w14:paraId="21EE6B97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0F91C83" w14:textId="52A235A7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5AAE838C" w14:textId="77777777" w:rsidTr="00A155F0">
        <w:tc>
          <w:tcPr>
            <w:tcW w:w="704" w:type="dxa"/>
            <w:vAlign w:val="center"/>
          </w:tcPr>
          <w:p w14:paraId="3C62F69F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7D6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 xml:space="preserve">Czytelny, kolorowy wyświetlacz z możliwością wyświetlenia następujących informacji jednocześnie: </w:t>
            </w:r>
          </w:p>
          <w:p w14:paraId="6C5A416A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nazwa leku,</w:t>
            </w:r>
          </w:p>
          <w:p w14:paraId="5D8C73F2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koncentracja leku,</w:t>
            </w:r>
          </w:p>
          <w:p w14:paraId="7048EF3E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szybkość infuzji,</w:t>
            </w:r>
          </w:p>
          <w:p w14:paraId="390EFFAE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 xml:space="preserve">informacji, że wartość szybkości infuzji mieści się w zalecanym zakresie lub </w:t>
            </w:r>
            <w:r w:rsidRPr="008C2B0E">
              <w:rPr>
                <w:rFonts w:cstheme="minorHAnsi"/>
                <w:color w:val="000000"/>
                <w:sz w:val="24"/>
                <w:szCs w:val="24"/>
              </w:rPr>
              <w:lastRenderedPageBreak/>
              <w:t>znajduje się w zakresie limitu miękkiego dolnego lub górnego,</w:t>
            </w:r>
          </w:p>
          <w:p w14:paraId="0F738E41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podana dawka,</w:t>
            </w:r>
          </w:p>
          <w:p w14:paraId="5F25177F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poziom limitów dla szybkości infuzji,</w:t>
            </w:r>
          </w:p>
          <w:p w14:paraId="2D0352B5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czas do końca dawki w formie graficznej,</w:t>
            </w:r>
          </w:p>
          <w:p w14:paraId="7388AEFC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kategorii leku wyodrębnionej kolorem,</w:t>
            </w:r>
          </w:p>
          <w:p w14:paraId="5DADF374" w14:textId="77777777" w:rsidR="00256C93" w:rsidRPr="008C2B0E" w:rsidRDefault="00256C93" w:rsidP="008C2B0E">
            <w:pPr>
              <w:numPr>
                <w:ilvl w:val="0"/>
                <w:numId w:val="25"/>
              </w:numPr>
              <w:spacing w:line="276" w:lineRule="auto"/>
              <w:ind w:left="358" w:hanging="284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stan naładowania akumulatora,</w:t>
            </w:r>
          </w:p>
          <w:p w14:paraId="3B9C017C" w14:textId="681A8FDA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aktualne ciśnienie w linii pacjenta w formie graficznej</w:t>
            </w:r>
          </w:p>
        </w:tc>
        <w:tc>
          <w:tcPr>
            <w:tcW w:w="3824" w:type="dxa"/>
          </w:tcPr>
          <w:p w14:paraId="7700D213" w14:textId="77777777" w:rsidR="00BE23FD" w:rsidRPr="005612C6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6AF1D613" w14:textId="758823ED" w:rsidR="00256C93" w:rsidRPr="008C2B0E" w:rsidRDefault="00BE23FD" w:rsidP="00BE23F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252C5595" w14:textId="77777777" w:rsidTr="00A155F0">
        <w:tc>
          <w:tcPr>
            <w:tcW w:w="704" w:type="dxa"/>
            <w:vAlign w:val="center"/>
          </w:tcPr>
          <w:p w14:paraId="73F97A62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A5A" w14:textId="5E0D8DC3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Kolorystyczne wyróżnienie ekranu infuzji do żywienia dojelitowego względem innych realizowanych infuzji</w:t>
            </w:r>
          </w:p>
        </w:tc>
        <w:tc>
          <w:tcPr>
            <w:tcW w:w="3824" w:type="dxa"/>
          </w:tcPr>
          <w:p w14:paraId="4A1EDC16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0A35623" w14:textId="1CEE03F9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62EF2AD5" w14:textId="77777777" w:rsidTr="00A155F0">
        <w:tc>
          <w:tcPr>
            <w:tcW w:w="704" w:type="dxa"/>
            <w:vAlign w:val="center"/>
          </w:tcPr>
          <w:p w14:paraId="30DBF8F1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355C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Programowanie parametrów podaży bolusa oraz bolusa wstępnego (dawki indukcyjnej):</w:t>
            </w:r>
          </w:p>
          <w:p w14:paraId="01E9F7CB" w14:textId="5D282B74" w:rsidR="00256C93" w:rsidRPr="00E657D6" w:rsidRDefault="00256C93" w:rsidP="008C2B0E">
            <w:pPr>
              <w:numPr>
                <w:ilvl w:val="0"/>
                <w:numId w:val="26"/>
              </w:numPr>
              <w:suppressAutoHyphens/>
              <w:snapToGrid w:val="0"/>
              <w:spacing w:line="276" w:lineRule="auto"/>
              <w:ind w:hanging="261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objętość / dawka,</w:t>
            </w:r>
            <w:r w:rsidR="00E657D6">
              <w:rPr>
                <w:rFonts w:cstheme="minorHAnsi"/>
                <w:sz w:val="24"/>
                <w:szCs w:val="24"/>
              </w:rPr>
              <w:t xml:space="preserve"> </w:t>
            </w:r>
            <w:r w:rsidRPr="00E657D6">
              <w:rPr>
                <w:rFonts w:cstheme="minorHAnsi"/>
                <w:sz w:val="24"/>
                <w:szCs w:val="24"/>
              </w:rPr>
              <w:t>czas lub szybkość podaży</w:t>
            </w:r>
          </w:p>
        </w:tc>
        <w:tc>
          <w:tcPr>
            <w:tcW w:w="3824" w:type="dxa"/>
          </w:tcPr>
          <w:p w14:paraId="25E62D07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7D3C9BE" w14:textId="0A5A1EB8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3F5B94DF" w14:textId="77777777" w:rsidTr="00A155F0">
        <w:tc>
          <w:tcPr>
            <w:tcW w:w="704" w:type="dxa"/>
            <w:vAlign w:val="center"/>
          </w:tcPr>
          <w:p w14:paraId="0C4B0FAE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664" w14:textId="1EBFD556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Bolus manualny. Bolus automatyczny z zaprogramowaną dawką</w:t>
            </w:r>
          </w:p>
        </w:tc>
        <w:tc>
          <w:tcPr>
            <w:tcW w:w="3824" w:type="dxa"/>
          </w:tcPr>
          <w:p w14:paraId="55F06B27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B246C4C" w14:textId="034B9C53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36E99ADA" w14:textId="77777777" w:rsidTr="00A155F0">
        <w:tc>
          <w:tcPr>
            <w:tcW w:w="704" w:type="dxa"/>
            <w:vAlign w:val="center"/>
          </w:tcPr>
          <w:p w14:paraId="54FFF3D7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798" w14:textId="406805BB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Automatyczne zmniejszenie szybkości podaży bolusa, w celu uniknięcia przerwania jego podaży alarmem okluzji</w:t>
            </w:r>
          </w:p>
        </w:tc>
        <w:tc>
          <w:tcPr>
            <w:tcW w:w="3824" w:type="dxa"/>
          </w:tcPr>
          <w:p w14:paraId="2DCED086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B3F4FEA" w14:textId="72226CE8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6A0ED519" w14:textId="77777777" w:rsidTr="00A155F0">
        <w:tc>
          <w:tcPr>
            <w:tcW w:w="704" w:type="dxa"/>
            <w:vAlign w:val="center"/>
          </w:tcPr>
          <w:p w14:paraId="3AE664AD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A1E5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color w:val="000000"/>
                <w:kern w:val="2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Możliwość wgrania do pompy biblioteki leków złożonej z procedur dozowania zawierających co najmniej:</w:t>
            </w:r>
          </w:p>
          <w:p w14:paraId="4E029599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nazwy leku,</w:t>
            </w:r>
          </w:p>
          <w:p w14:paraId="5431EC64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10 koncentracji leku,</w:t>
            </w:r>
          </w:p>
          <w:p w14:paraId="1A46A20E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szybkości dozowania (dawkowanie),</w:t>
            </w:r>
          </w:p>
          <w:p w14:paraId="22C3B1E1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całkowitej objętości (dawki) infuzji,</w:t>
            </w:r>
          </w:p>
          <w:p w14:paraId="488BC075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parametrów bolusa, oraz dawki indukcyjnej,</w:t>
            </w:r>
          </w:p>
          <w:p w14:paraId="3463196D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limitów dla wymienionych parametrów infuzji:</w:t>
            </w:r>
          </w:p>
          <w:p w14:paraId="58D34B07" w14:textId="77777777" w:rsidR="00256C93" w:rsidRPr="008C2B0E" w:rsidRDefault="00256C93" w:rsidP="008C2B0E">
            <w:pPr>
              <w:numPr>
                <w:ilvl w:val="1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 xml:space="preserve">miękkich, ostrzegających o przekroczeniu zalecanych wartości parametrów, </w:t>
            </w:r>
          </w:p>
          <w:p w14:paraId="3CF242FB" w14:textId="77777777" w:rsidR="00256C93" w:rsidRPr="008C2B0E" w:rsidRDefault="00256C93" w:rsidP="008C2B0E">
            <w:pPr>
              <w:numPr>
                <w:ilvl w:val="1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twardych – blokujących możliwość wprowadzenia wartości spoza ich zakresu.</w:t>
            </w:r>
          </w:p>
          <w:p w14:paraId="35005F31" w14:textId="77777777" w:rsidR="00256C93" w:rsidRPr="008C2B0E" w:rsidRDefault="00256C93" w:rsidP="008C2B0E">
            <w:pPr>
              <w:numPr>
                <w:ilvl w:val="0"/>
                <w:numId w:val="27"/>
              </w:numPr>
              <w:suppressAutoHyphens/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lastRenderedPageBreak/>
              <w:t>Notatki doradczej możliwej do odczytania przed rozpoczęciem infuzji.</w:t>
            </w:r>
          </w:p>
          <w:p w14:paraId="6A50A3A1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Podział biblioteki na osobne grupy dedykowane poszczególnym oddziałom szpitalnym, do 40 oddziałów. Wybór oddziału dostępny w pompie.</w:t>
            </w:r>
          </w:p>
          <w:p w14:paraId="32A2469C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Podział biblioteki dedykowanej oddziałom na 40 kategorii lekowych.</w:t>
            </w:r>
          </w:p>
          <w:p w14:paraId="33B125A1" w14:textId="6917EAF0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 xml:space="preserve">Pojemność biblioteki min. </w:t>
            </w:r>
            <w:r w:rsidRPr="008C2B0E">
              <w:rPr>
                <w:rFonts w:cstheme="minorHAnsi"/>
                <w:color w:val="000000"/>
                <w:sz w:val="24"/>
                <w:szCs w:val="24"/>
              </w:rPr>
              <w:t>4000</w:t>
            </w:r>
            <w:r w:rsidRPr="008C2B0E">
              <w:rPr>
                <w:rFonts w:cstheme="minorHAnsi"/>
                <w:sz w:val="24"/>
                <w:szCs w:val="24"/>
              </w:rPr>
              <w:t xml:space="preserve"> procedur dozowania leków</w:t>
            </w:r>
          </w:p>
        </w:tc>
        <w:tc>
          <w:tcPr>
            <w:tcW w:w="3824" w:type="dxa"/>
          </w:tcPr>
          <w:p w14:paraId="107F1D9C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2DFD50BB" w14:textId="779F98E0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6D1339FB" w14:textId="77777777" w:rsidTr="00821952">
        <w:tc>
          <w:tcPr>
            <w:tcW w:w="704" w:type="dxa"/>
            <w:vAlign w:val="center"/>
          </w:tcPr>
          <w:p w14:paraId="5611FEA4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C43" w14:textId="559CE54F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Zabezpieczenie przed gwałtowną zmianą szybkości w trakcie trwania infuzji (miareczkowanie)</w:t>
            </w:r>
          </w:p>
        </w:tc>
        <w:tc>
          <w:tcPr>
            <w:tcW w:w="3824" w:type="dxa"/>
          </w:tcPr>
          <w:p w14:paraId="0682DA13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5DD1248" w14:textId="64F4B576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0CF1E3B5" w14:textId="77777777" w:rsidTr="00A155F0">
        <w:tc>
          <w:tcPr>
            <w:tcW w:w="704" w:type="dxa"/>
            <w:vAlign w:val="center"/>
          </w:tcPr>
          <w:p w14:paraId="15A44C9F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BBE" w14:textId="4AC6CBD3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Napisy na wyświetlaczu w języku polskim.</w:t>
            </w:r>
          </w:p>
        </w:tc>
        <w:tc>
          <w:tcPr>
            <w:tcW w:w="3824" w:type="dxa"/>
          </w:tcPr>
          <w:p w14:paraId="3F5DF4B8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06139C3" w14:textId="128207D8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4C9F9E8" w14:textId="77777777" w:rsidTr="00A155F0">
        <w:tc>
          <w:tcPr>
            <w:tcW w:w="704" w:type="dxa"/>
            <w:vAlign w:val="center"/>
          </w:tcPr>
          <w:p w14:paraId="36B93F84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D99" w14:textId="47864D12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bCs/>
                <w:sz w:val="24"/>
                <w:szCs w:val="24"/>
              </w:rPr>
              <w:t>Regulowane progi ciśnienia okluzji, 12 poziomów.</w:t>
            </w:r>
          </w:p>
        </w:tc>
        <w:tc>
          <w:tcPr>
            <w:tcW w:w="3824" w:type="dxa"/>
          </w:tcPr>
          <w:p w14:paraId="422C4FEF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8CD3DD6" w14:textId="390362FC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350B8FFB" w14:textId="77777777" w:rsidTr="00A155F0">
        <w:tc>
          <w:tcPr>
            <w:tcW w:w="704" w:type="dxa"/>
            <w:vAlign w:val="center"/>
          </w:tcPr>
          <w:p w14:paraId="138517D8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75C8" w14:textId="7F15E5A8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bCs/>
                <w:sz w:val="24"/>
                <w:szCs w:val="24"/>
              </w:rPr>
              <w:t>Progi ciśnienia regulowane, w zakresie 75 - 900 mmHg</w:t>
            </w:r>
          </w:p>
        </w:tc>
        <w:tc>
          <w:tcPr>
            <w:tcW w:w="3824" w:type="dxa"/>
          </w:tcPr>
          <w:p w14:paraId="5AC9892C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AE38253" w14:textId="00A03AB9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21A7DCBB" w14:textId="77777777" w:rsidTr="00A155F0">
        <w:tc>
          <w:tcPr>
            <w:tcW w:w="704" w:type="dxa"/>
            <w:vAlign w:val="center"/>
          </w:tcPr>
          <w:p w14:paraId="6D103137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929" w14:textId="061855B2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Zmiana progu ciśnienia okluzji bez przerywania infuzji</w:t>
            </w:r>
          </w:p>
        </w:tc>
        <w:tc>
          <w:tcPr>
            <w:tcW w:w="3824" w:type="dxa"/>
          </w:tcPr>
          <w:p w14:paraId="7AC28BA8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D953F3D" w14:textId="1474AD23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C1A0BAA" w14:textId="77777777" w:rsidTr="00A155F0">
        <w:tc>
          <w:tcPr>
            <w:tcW w:w="704" w:type="dxa"/>
            <w:vAlign w:val="center"/>
          </w:tcPr>
          <w:p w14:paraId="3FCBB60B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A21C" w14:textId="6E9C4449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Automatyczna redukcja bolusa okluzyjnego</w:t>
            </w:r>
          </w:p>
        </w:tc>
        <w:tc>
          <w:tcPr>
            <w:tcW w:w="3824" w:type="dxa"/>
          </w:tcPr>
          <w:p w14:paraId="2EE8E1B9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D3EC50A" w14:textId="37284C73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0AC81AF4" w14:textId="77777777" w:rsidTr="00A155F0">
        <w:tc>
          <w:tcPr>
            <w:tcW w:w="704" w:type="dxa"/>
            <w:vAlign w:val="center"/>
          </w:tcPr>
          <w:p w14:paraId="1E3E5C57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3871" w14:textId="4EC76EF9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Priorytetowy system alarmów, zapewniający zróżnicowany sygnał dźwiękowy i świetlny, zależnie od stopnia zagrożenia</w:t>
            </w:r>
          </w:p>
        </w:tc>
        <w:tc>
          <w:tcPr>
            <w:tcW w:w="3824" w:type="dxa"/>
          </w:tcPr>
          <w:p w14:paraId="4FACA624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4A721CA" w14:textId="2D6E8041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7BFFFAF5" w14:textId="77777777" w:rsidTr="00A155F0">
        <w:tc>
          <w:tcPr>
            <w:tcW w:w="704" w:type="dxa"/>
            <w:vAlign w:val="center"/>
          </w:tcPr>
          <w:p w14:paraId="39BEAA94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C27C" w14:textId="491F3F2D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Dostępność polskojęzycznego oprogramowania komputerowego do tworzenia i przesyłania do pompy biblioteki leków</w:t>
            </w:r>
          </w:p>
        </w:tc>
        <w:tc>
          <w:tcPr>
            <w:tcW w:w="3824" w:type="dxa"/>
          </w:tcPr>
          <w:p w14:paraId="6D7B20F4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90BFD45" w14:textId="27AC0FCD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6D7B4DA" w14:textId="77777777" w:rsidTr="00A155F0">
        <w:tc>
          <w:tcPr>
            <w:tcW w:w="704" w:type="dxa"/>
            <w:vAlign w:val="center"/>
          </w:tcPr>
          <w:p w14:paraId="767CB0A0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2385" w14:textId="77777777" w:rsidR="00256C93" w:rsidRPr="008C2B0E" w:rsidRDefault="00256C93" w:rsidP="008C2B0E">
            <w:pPr>
              <w:snapToGrid w:val="0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Możliwość instalacji pompy w stacji dokującej:</w:t>
            </w:r>
          </w:p>
          <w:p w14:paraId="0B1179C4" w14:textId="77777777" w:rsidR="00256C93" w:rsidRPr="008C2B0E" w:rsidRDefault="00256C93" w:rsidP="008C2B0E">
            <w:pPr>
              <w:numPr>
                <w:ilvl w:val="0"/>
                <w:numId w:val="28"/>
              </w:numPr>
              <w:suppressAutoHyphens/>
              <w:spacing w:line="276" w:lineRule="auto"/>
              <w:ind w:left="358" w:hanging="284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zatrzaskowe mocowanie z automatyczną blokadą, bez konieczności przykręcania,</w:t>
            </w:r>
          </w:p>
          <w:p w14:paraId="3878FC84" w14:textId="77777777" w:rsidR="00256C93" w:rsidRPr="008C2B0E" w:rsidRDefault="00256C93" w:rsidP="008C2B0E">
            <w:pPr>
              <w:numPr>
                <w:ilvl w:val="0"/>
                <w:numId w:val="28"/>
              </w:numPr>
              <w:suppressAutoHyphens/>
              <w:spacing w:line="276" w:lineRule="auto"/>
              <w:ind w:left="358" w:hanging="284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alarm nieprawidłowego mocowania,</w:t>
            </w:r>
          </w:p>
          <w:p w14:paraId="147C2328" w14:textId="77777777" w:rsidR="00256C93" w:rsidRPr="008C2B0E" w:rsidRDefault="00256C93" w:rsidP="008C2B0E">
            <w:pPr>
              <w:numPr>
                <w:ilvl w:val="0"/>
                <w:numId w:val="28"/>
              </w:numPr>
              <w:suppressAutoHyphens/>
              <w:spacing w:line="276" w:lineRule="auto"/>
              <w:ind w:left="358" w:hanging="284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lastRenderedPageBreak/>
              <w:t xml:space="preserve">pompy mocowane niezależnie, jedna nad drugą, </w:t>
            </w:r>
          </w:p>
          <w:p w14:paraId="795D68C7" w14:textId="77777777" w:rsidR="00256C93" w:rsidRPr="008C2B0E" w:rsidRDefault="00256C93" w:rsidP="008C2B0E">
            <w:pPr>
              <w:numPr>
                <w:ilvl w:val="0"/>
                <w:numId w:val="28"/>
              </w:numPr>
              <w:suppressAutoHyphens/>
              <w:spacing w:line="276" w:lineRule="auto"/>
              <w:ind w:left="358" w:hanging="284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automatyczne przyłączenie zasilania ze stacji dokującej,</w:t>
            </w:r>
          </w:p>
          <w:p w14:paraId="0F89A3CA" w14:textId="77777777" w:rsidR="00256C93" w:rsidRPr="008C2B0E" w:rsidRDefault="00256C93" w:rsidP="008C2B0E">
            <w:pPr>
              <w:numPr>
                <w:ilvl w:val="0"/>
                <w:numId w:val="28"/>
              </w:numPr>
              <w:suppressAutoHyphens/>
              <w:spacing w:line="276" w:lineRule="auto"/>
              <w:ind w:left="358" w:hanging="284"/>
              <w:rPr>
                <w:rFonts w:cstheme="minorHAnsi"/>
                <w:b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automatyczne przyłączenie portu komunikacyjnego ze stacji dokującej,</w:t>
            </w:r>
          </w:p>
          <w:p w14:paraId="2890E77B" w14:textId="53F932A7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 xml:space="preserve">świetlna sygnalizacja stanu pomp: infuzja, alarm, </w:t>
            </w:r>
            <w:r w:rsidRPr="008C2B0E">
              <w:rPr>
                <w:rFonts w:cstheme="minorHAnsi"/>
                <w:color w:val="000000"/>
                <w:sz w:val="24"/>
                <w:szCs w:val="24"/>
              </w:rPr>
              <w:t>STOP</w:t>
            </w:r>
          </w:p>
        </w:tc>
        <w:tc>
          <w:tcPr>
            <w:tcW w:w="3824" w:type="dxa"/>
          </w:tcPr>
          <w:p w14:paraId="7DAF2877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5A0D2F2D" w14:textId="43B056C4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1153E77D" w14:textId="77777777" w:rsidTr="00A155F0">
        <w:tc>
          <w:tcPr>
            <w:tcW w:w="704" w:type="dxa"/>
            <w:vAlign w:val="center"/>
          </w:tcPr>
          <w:p w14:paraId="5C41F16D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C174" w14:textId="1A191599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bCs/>
                <w:sz w:val="24"/>
                <w:szCs w:val="24"/>
              </w:rPr>
              <w:t>Mocowanie pojedynczej pompy do statywów lub pionowych kolumn niewymagające dołączenia jakichkolwiek części, w szczególności uchwytu mocującego, po bezpośrednim wyjęciu pompy z stacji dokującej</w:t>
            </w:r>
          </w:p>
        </w:tc>
        <w:tc>
          <w:tcPr>
            <w:tcW w:w="3824" w:type="dxa"/>
          </w:tcPr>
          <w:p w14:paraId="74A7FC8F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8257DB2" w14:textId="6B90DD01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0E9DB989" w14:textId="77777777" w:rsidTr="00A155F0">
        <w:tc>
          <w:tcPr>
            <w:tcW w:w="704" w:type="dxa"/>
            <w:vAlign w:val="center"/>
          </w:tcPr>
          <w:p w14:paraId="5AE4675F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3DD" w14:textId="71F2FEC2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Mocowanie pomp w stacji dokującej niewymagające odłączenia jakichkolwiek części, w szczególności uchwytu mocującego, po bezpośrednim zdjęciu pompy ze statywu</w:t>
            </w:r>
          </w:p>
        </w:tc>
        <w:tc>
          <w:tcPr>
            <w:tcW w:w="3824" w:type="dxa"/>
          </w:tcPr>
          <w:p w14:paraId="6C427487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25B2B6C" w14:textId="4C7D49D1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59EE302F" w14:textId="77777777" w:rsidTr="00821952">
        <w:tc>
          <w:tcPr>
            <w:tcW w:w="704" w:type="dxa"/>
            <w:vAlign w:val="center"/>
          </w:tcPr>
          <w:p w14:paraId="53E37471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B51" w14:textId="4F5E5BC2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bCs/>
                <w:sz w:val="24"/>
                <w:szCs w:val="24"/>
              </w:rPr>
              <w:t>Uchwyt do przenoszenia pompy na stałe związany z pompą, niewymagający odłączania przy mocowaniu pomp w stacjach dokujących</w:t>
            </w:r>
          </w:p>
        </w:tc>
        <w:tc>
          <w:tcPr>
            <w:tcW w:w="3824" w:type="dxa"/>
          </w:tcPr>
          <w:p w14:paraId="276E3769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6AE5B37" w14:textId="4A506FDD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0D29A745" w14:textId="77777777" w:rsidTr="00821952">
        <w:tc>
          <w:tcPr>
            <w:tcW w:w="704" w:type="dxa"/>
            <w:vAlign w:val="center"/>
          </w:tcPr>
          <w:p w14:paraId="21BB67CC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C617" w14:textId="12245E27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Możliwość komunikacji pomp umieszczonych w stacjach dokujących wyposażonych w interface LAN z oprogramowaniem zewnętrznym</w:t>
            </w:r>
          </w:p>
        </w:tc>
        <w:tc>
          <w:tcPr>
            <w:tcW w:w="3824" w:type="dxa"/>
          </w:tcPr>
          <w:p w14:paraId="27306B4F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981370D" w14:textId="07918653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3FF09339" w14:textId="77777777" w:rsidTr="00821952">
        <w:tc>
          <w:tcPr>
            <w:tcW w:w="704" w:type="dxa"/>
            <w:vAlign w:val="center"/>
          </w:tcPr>
          <w:p w14:paraId="1202C8BA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610" w14:textId="183CB372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color w:val="000000"/>
                <w:sz w:val="24"/>
                <w:szCs w:val="24"/>
              </w:rPr>
              <w:t>Historia infuzji – możliwość zapamiętania min. 2000 pełnych infuzji</w:t>
            </w:r>
          </w:p>
        </w:tc>
        <w:tc>
          <w:tcPr>
            <w:tcW w:w="3824" w:type="dxa"/>
          </w:tcPr>
          <w:p w14:paraId="0D9D6DFA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A1B9A05" w14:textId="6B90CDEF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56C93" w:rsidRPr="008C2B0E" w14:paraId="425BE31F" w14:textId="77777777" w:rsidTr="00821952">
        <w:tc>
          <w:tcPr>
            <w:tcW w:w="704" w:type="dxa"/>
            <w:vAlign w:val="center"/>
          </w:tcPr>
          <w:p w14:paraId="0B4CD0A5" w14:textId="77777777" w:rsidR="00256C93" w:rsidRPr="008C2B0E" w:rsidRDefault="00256C9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02BD" w14:textId="7D4FC9E4" w:rsidR="00256C93" w:rsidRPr="008C2B0E" w:rsidRDefault="00256C9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Klasa ochrony II, typ CF, odporność na defibrylację</w:t>
            </w:r>
          </w:p>
        </w:tc>
        <w:tc>
          <w:tcPr>
            <w:tcW w:w="3824" w:type="dxa"/>
          </w:tcPr>
          <w:p w14:paraId="5F739D00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B8EDA5C" w14:textId="715AF113" w:rsidR="00256C9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4003" w:rsidRPr="008C2B0E" w14:paraId="4DC9B68E" w14:textId="77777777" w:rsidTr="00821952">
        <w:tc>
          <w:tcPr>
            <w:tcW w:w="704" w:type="dxa"/>
            <w:vAlign w:val="center"/>
          </w:tcPr>
          <w:p w14:paraId="4FDFFD57" w14:textId="77777777" w:rsidR="00314003" w:rsidRPr="008C2B0E" w:rsidRDefault="0031400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CF11" w14:textId="63A23E9C" w:rsidR="00314003" w:rsidRPr="008C2B0E" w:rsidRDefault="0031400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Zasilanie pomp mocowanych poza stacją dokującą bezpośrednio z sieci energetycznej</w:t>
            </w:r>
          </w:p>
        </w:tc>
        <w:tc>
          <w:tcPr>
            <w:tcW w:w="3824" w:type="dxa"/>
          </w:tcPr>
          <w:p w14:paraId="053538E8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3429E90" w14:textId="65D4D586" w:rsidR="0031400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4003" w:rsidRPr="008C2B0E" w14:paraId="5CA9E4C8" w14:textId="77777777" w:rsidTr="00821952">
        <w:tc>
          <w:tcPr>
            <w:tcW w:w="704" w:type="dxa"/>
            <w:vAlign w:val="center"/>
          </w:tcPr>
          <w:p w14:paraId="4E6D40EC" w14:textId="77777777" w:rsidR="00314003" w:rsidRPr="008C2B0E" w:rsidRDefault="0031400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87AF" w14:textId="6CC1D8AC" w:rsidR="00314003" w:rsidRPr="008C2B0E" w:rsidRDefault="0031400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bCs/>
                <w:sz w:val="24"/>
                <w:szCs w:val="24"/>
              </w:rPr>
              <w:t>Czas pracy z akumulatora min. 15 h przy infuzji 25 ml/h</w:t>
            </w:r>
          </w:p>
        </w:tc>
        <w:tc>
          <w:tcPr>
            <w:tcW w:w="3824" w:type="dxa"/>
          </w:tcPr>
          <w:p w14:paraId="1078E2C1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2421845" w14:textId="089FB1CD" w:rsidR="0031400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4003" w:rsidRPr="008C2B0E" w14:paraId="0838468E" w14:textId="77777777" w:rsidTr="00821952">
        <w:tc>
          <w:tcPr>
            <w:tcW w:w="704" w:type="dxa"/>
            <w:vAlign w:val="center"/>
          </w:tcPr>
          <w:p w14:paraId="7CBAC510" w14:textId="77777777" w:rsidR="00314003" w:rsidRPr="008C2B0E" w:rsidRDefault="00314003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F30C" w14:textId="1F8F0AEA" w:rsidR="00314003" w:rsidRPr="008C2B0E" w:rsidRDefault="00314003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C2B0E">
              <w:rPr>
                <w:rFonts w:cstheme="minorHAnsi"/>
                <w:sz w:val="24"/>
                <w:szCs w:val="24"/>
              </w:rPr>
              <w:t>Czas ładowania akumulatora do 100% po pełnym rozładowaniu – do 5 h</w:t>
            </w:r>
          </w:p>
        </w:tc>
        <w:tc>
          <w:tcPr>
            <w:tcW w:w="3824" w:type="dxa"/>
          </w:tcPr>
          <w:p w14:paraId="1000D1C6" w14:textId="77777777" w:rsidR="00F60E17" w:rsidRPr="005612C6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546CD22" w14:textId="0A7C5C38" w:rsidR="00314003" w:rsidRPr="008C2B0E" w:rsidRDefault="00F60E17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DB0212" w:rsidRPr="008C2B0E" w14:paraId="6C9478E7" w14:textId="77777777" w:rsidTr="00821952">
        <w:tc>
          <w:tcPr>
            <w:tcW w:w="704" w:type="dxa"/>
            <w:vAlign w:val="center"/>
          </w:tcPr>
          <w:p w14:paraId="17CBD341" w14:textId="77777777" w:rsidR="00DB0212" w:rsidRPr="008C2B0E" w:rsidRDefault="00DB0212" w:rsidP="008C2B0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1B8A" w14:textId="47B821B3" w:rsidR="00DB0212" w:rsidRPr="008C2B0E" w:rsidRDefault="00DB0212" w:rsidP="008C2B0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DB0212">
              <w:rPr>
                <w:rFonts w:cstheme="minorHAnsi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5700F1AB" w14:textId="77777777" w:rsidR="00DB0212" w:rsidRDefault="00DB0212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E513614" w14:textId="6B2BBE3B" w:rsidR="00DB0212" w:rsidRDefault="00DB0212" w:rsidP="00F60E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8C2B0E" w:rsidRDefault="00C960A7" w:rsidP="008C2B0E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4DA2789E" w:rsidR="008A10FB" w:rsidRPr="008C2B0E" w:rsidRDefault="008A10FB" w:rsidP="008C2B0E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C2B0E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8C2B0E">
        <w:rPr>
          <w:rFonts w:cstheme="minorHAnsi"/>
          <w:sz w:val="24"/>
          <w:szCs w:val="24"/>
        </w:rPr>
        <w:t xml:space="preserve">Rodzaj / Oznaczenie / Parametry i funkcjonalności </w:t>
      </w:r>
      <w:r w:rsidRPr="008C2B0E">
        <w:rPr>
          <w:rFonts w:cstheme="minorHAnsi"/>
          <w:bCs/>
          <w:sz w:val="24"/>
          <w:szCs w:val="24"/>
        </w:rPr>
        <w:t>oferowanego sprzętu</w:t>
      </w:r>
      <w:r w:rsidRPr="008C2B0E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8C2B0E">
        <w:rPr>
          <w:rFonts w:cstheme="minorHAnsi"/>
          <w:sz w:val="24"/>
          <w:szCs w:val="24"/>
        </w:rPr>
        <w:t>Rodzaj sprzętu / Parametry i funkcjonalności wymagane przez Zamawiającego”,</w:t>
      </w:r>
      <w:r w:rsidRPr="008C2B0E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8C2B0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8C2B0E" w:rsidRDefault="008A10FB" w:rsidP="008C2B0E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8C2B0E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8C2B0E" w:rsidRDefault="008A10FB" w:rsidP="008C2B0E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8C2B0E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8C2B0E" w:rsidRDefault="008A10FB" w:rsidP="008C2B0E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8C2B0E" w:rsidRDefault="008A10FB" w:rsidP="008C2B0E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8C2B0E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8C2B0E" w:rsidRDefault="00752782" w:rsidP="008C2B0E">
      <w:pPr>
        <w:spacing w:line="276" w:lineRule="auto"/>
        <w:rPr>
          <w:rFonts w:cstheme="minorHAnsi"/>
          <w:sz w:val="24"/>
          <w:szCs w:val="24"/>
        </w:rPr>
      </w:pPr>
    </w:p>
    <w:sectPr w:rsidR="00752782" w:rsidRPr="008C2B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8B11" w14:textId="77777777" w:rsidR="00945082" w:rsidRDefault="00945082" w:rsidP="0088002A">
      <w:pPr>
        <w:spacing w:after="0" w:line="240" w:lineRule="auto"/>
      </w:pPr>
      <w:r>
        <w:separator/>
      </w:r>
    </w:p>
  </w:endnote>
  <w:endnote w:type="continuationSeparator" w:id="0">
    <w:p w14:paraId="3F203EC9" w14:textId="77777777" w:rsidR="00945082" w:rsidRDefault="00945082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64254" w14:textId="77777777" w:rsidR="00945082" w:rsidRDefault="00945082" w:rsidP="0088002A">
      <w:pPr>
        <w:spacing w:after="0" w:line="240" w:lineRule="auto"/>
      </w:pPr>
      <w:r>
        <w:separator/>
      </w:r>
    </w:p>
  </w:footnote>
  <w:footnote w:type="continuationSeparator" w:id="0">
    <w:p w14:paraId="69E5DFF8" w14:textId="77777777" w:rsidR="00945082" w:rsidRDefault="00945082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11F09"/>
    <w:multiLevelType w:val="hybridMultilevel"/>
    <w:tmpl w:val="226E4A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46504"/>
    <w:multiLevelType w:val="hybridMultilevel"/>
    <w:tmpl w:val="1C34368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AE7C39"/>
    <w:multiLevelType w:val="hybridMultilevel"/>
    <w:tmpl w:val="D362D9E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1B6402"/>
    <w:multiLevelType w:val="hybridMultilevel"/>
    <w:tmpl w:val="BF746A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465B8"/>
    <w:multiLevelType w:val="hybridMultilevel"/>
    <w:tmpl w:val="13C81B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9"/>
  </w:num>
  <w:num w:numId="2" w16cid:durableId="777800921">
    <w:abstractNumId w:val="8"/>
  </w:num>
  <w:num w:numId="3" w16cid:durableId="1991061339">
    <w:abstractNumId w:val="18"/>
  </w:num>
  <w:num w:numId="4" w16cid:durableId="6856409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7"/>
  </w:num>
  <w:num w:numId="6" w16cid:durableId="1202211257">
    <w:abstractNumId w:val="1"/>
  </w:num>
  <w:num w:numId="7" w16cid:durableId="2065984404">
    <w:abstractNumId w:val="10"/>
  </w:num>
  <w:num w:numId="8" w16cid:durableId="21369695">
    <w:abstractNumId w:val="5"/>
  </w:num>
  <w:num w:numId="9" w16cid:durableId="765999801">
    <w:abstractNumId w:val="6"/>
  </w:num>
  <w:num w:numId="10" w16cid:durableId="1661621343">
    <w:abstractNumId w:val="21"/>
  </w:num>
  <w:num w:numId="11" w16cid:durableId="1452364063">
    <w:abstractNumId w:val="16"/>
  </w:num>
  <w:num w:numId="12" w16cid:durableId="1087969705">
    <w:abstractNumId w:val="9"/>
  </w:num>
  <w:num w:numId="13" w16cid:durableId="1366246634">
    <w:abstractNumId w:val="17"/>
  </w:num>
  <w:num w:numId="14" w16cid:durableId="208339962">
    <w:abstractNumId w:val="0"/>
  </w:num>
  <w:num w:numId="15" w16cid:durableId="943996655">
    <w:abstractNumId w:val="23"/>
  </w:num>
  <w:num w:numId="16" w16cid:durableId="213154171">
    <w:abstractNumId w:val="25"/>
  </w:num>
  <w:num w:numId="17" w16cid:durableId="515655962">
    <w:abstractNumId w:val="14"/>
  </w:num>
  <w:num w:numId="18" w16cid:durableId="1193765024">
    <w:abstractNumId w:val="11"/>
  </w:num>
  <w:num w:numId="19" w16cid:durableId="1213693687">
    <w:abstractNumId w:val="22"/>
  </w:num>
  <w:num w:numId="20" w16cid:durableId="1056464600">
    <w:abstractNumId w:val="3"/>
  </w:num>
  <w:num w:numId="21" w16cid:durableId="1373534189">
    <w:abstractNumId w:val="20"/>
  </w:num>
  <w:num w:numId="22" w16cid:durableId="1963491184">
    <w:abstractNumId w:val="15"/>
  </w:num>
  <w:num w:numId="23" w16cid:durableId="2071808575">
    <w:abstractNumId w:val="13"/>
  </w:num>
  <w:num w:numId="24" w16cid:durableId="232476422">
    <w:abstractNumId w:val="24"/>
  </w:num>
  <w:num w:numId="25" w16cid:durableId="1742558422">
    <w:abstractNumId w:val="2"/>
  </w:num>
  <w:num w:numId="26" w16cid:durableId="1874686533">
    <w:abstractNumId w:val="4"/>
  </w:num>
  <w:num w:numId="27" w16cid:durableId="1478381899">
    <w:abstractNumId w:val="11"/>
  </w:num>
  <w:num w:numId="28" w16cid:durableId="1639528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0C88"/>
    <w:rsid w:val="00021B55"/>
    <w:rsid w:val="0002667E"/>
    <w:rsid w:val="00027572"/>
    <w:rsid w:val="000310E6"/>
    <w:rsid w:val="00050A19"/>
    <w:rsid w:val="00057E93"/>
    <w:rsid w:val="00082D25"/>
    <w:rsid w:val="00097C01"/>
    <w:rsid w:val="000D02C6"/>
    <w:rsid w:val="001004B3"/>
    <w:rsid w:val="0011040F"/>
    <w:rsid w:val="00126F8F"/>
    <w:rsid w:val="00137D19"/>
    <w:rsid w:val="001429DF"/>
    <w:rsid w:val="00180AB0"/>
    <w:rsid w:val="001859E0"/>
    <w:rsid w:val="001A6410"/>
    <w:rsid w:val="001D74D6"/>
    <w:rsid w:val="001F09F3"/>
    <w:rsid w:val="001F2AED"/>
    <w:rsid w:val="002238DD"/>
    <w:rsid w:val="0023705F"/>
    <w:rsid w:val="002453A9"/>
    <w:rsid w:val="002523D4"/>
    <w:rsid w:val="00256C93"/>
    <w:rsid w:val="00256F2D"/>
    <w:rsid w:val="0028322E"/>
    <w:rsid w:val="00296569"/>
    <w:rsid w:val="002A64B9"/>
    <w:rsid w:val="002D1484"/>
    <w:rsid w:val="00304E1E"/>
    <w:rsid w:val="00313747"/>
    <w:rsid w:val="00314003"/>
    <w:rsid w:val="00364B20"/>
    <w:rsid w:val="003800D3"/>
    <w:rsid w:val="0038749B"/>
    <w:rsid w:val="003A41AE"/>
    <w:rsid w:val="003D100B"/>
    <w:rsid w:val="003F3007"/>
    <w:rsid w:val="0041056B"/>
    <w:rsid w:val="00411796"/>
    <w:rsid w:val="00452210"/>
    <w:rsid w:val="00463C30"/>
    <w:rsid w:val="00471B05"/>
    <w:rsid w:val="004A67CA"/>
    <w:rsid w:val="004D6D72"/>
    <w:rsid w:val="004E6060"/>
    <w:rsid w:val="0051298C"/>
    <w:rsid w:val="00531740"/>
    <w:rsid w:val="00534E24"/>
    <w:rsid w:val="00542584"/>
    <w:rsid w:val="00553288"/>
    <w:rsid w:val="00555838"/>
    <w:rsid w:val="0055627A"/>
    <w:rsid w:val="005627AD"/>
    <w:rsid w:val="005721B6"/>
    <w:rsid w:val="005944A5"/>
    <w:rsid w:val="005C20ED"/>
    <w:rsid w:val="005C7F91"/>
    <w:rsid w:val="005E66E4"/>
    <w:rsid w:val="00644FB2"/>
    <w:rsid w:val="00653ED5"/>
    <w:rsid w:val="006656F1"/>
    <w:rsid w:val="00682D4A"/>
    <w:rsid w:val="006A2D4D"/>
    <w:rsid w:val="006A477A"/>
    <w:rsid w:val="006B4843"/>
    <w:rsid w:val="006C7FE6"/>
    <w:rsid w:val="006E3D6D"/>
    <w:rsid w:val="006E43CF"/>
    <w:rsid w:val="006F041A"/>
    <w:rsid w:val="006F1ACE"/>
    <w:rsid w:val="00720B75"/>
    <w:rsid w:val="00727F1E"/>
    <w:rsid w:val="00743545"/>
    <w:rsid w:val="00752782"/>
    <w:rsid w:val="0078174B"/>
    <w:rsid w:val="007926D6"/>
    <w:rsid w:val="007A35CA"/>
    <w:rsid w:val="007C2BCC"/>
    <w:rsid w:val="007C45C7"/>
    <w:rsid w:val="007D79F6"/>
    <w:rsid w:val="00803B32"/>
    <w:rsid w:val="00815619"/>
    <w:rsid w:val="00840BDB"/>
    <w:rsid w:val="0088002A"/>
    <w:rsid w:val="008A10FB"/>
    <w:rsid w:val="008B160C"/>
    <w:rsid w:val="008C2B0E"/>
    <w:rsid w:val="008E116C"/>
    <w:rsid w:val="008E695D"/>
    <w:rsid w:val="008F5A66"/>
    <w:rsid w:val="008F68AC"/>
    <w:rsid w:val="00923F98"/>
    <w:rsid w:val="00925C81"/>
    <w:rsid w:val="00937F91"/>
    <w:rsid w:val="00940F43"/>
    <w:rsid w:val="00945082"/>
    <w:rsid w:val="0097090D"/>
    <w:rsid w:val="00974372"/>
    <w:rsid w:val="009933F4"/>
    <w:rsid w:val="009A68D7"/>
    <w:rsid w:val="009C68D4"/>
    <w:rsid w:val="009D6E19"/>
    <w:rsid w:val="00A2243B"/>
    <w:rsid w:val="00A2357E"/>
    <w:rsid w:val="00A53FB2"/>
    <w:rsid w:val="00A57DC2"/>
    <w:rsid w:val="00A700D0"/>
    <w:rsid w:val="00A741C1"/>
    <w:rsid w:val="00A747F8"/>
    <w:rsid w:val="00A75BA7"/>
    <w:rsid w:val="00AD39DF"/>
    <w:rsid w:val="00AD6933"/>
    <w:rsid w:val="00B17611"/>
    <w:rsid w:val="00B530A9"/>
    <w:rsid w:val="00B90D0C"/>
    <w:rsid w:val="00BA7324"/>
    <w:rsid w:val="00BE1F39"/>
    <w:rsid w:val="00BE23FD"/>
    <w:rsid w:val="00BF68AA"/>
    <w:rsid w:val="00C13CB5"/>
    <w:rsid w:val="00C155CC"/>
    <w:rsid w:val="00C822C3"/>
    <w:rsid w:val="00C960A7"/>
    <w:rsid w:val="00CA51FB"/>
    <w:rsid w:val="00CA5383"/>
    <w:rsid w:val="00CC1250"/>
    <w:rsid w:val="00CC3F5A"/>
    <w:rsid w:val="00CC430B"/>
    <w:rsid w:val="00CF55DF"/>
    <w:rsid w:val="00D04EA1"/>
    <w:rsid w:val="00D2235E"/>
    <w:rsid w:val="00D22B51"/>
    <w:rsid w:val="00D3523C"/>
    <w:rsid w:val="00D95C6C"/>
    <w:rsid w:val="00DB0212"/>
    <w:rsid w:val="00DF6F14"/>
    <w:rsid w:val="00DF71BA"/>
    <w:rsid w:val="00E16E72"/>
    <w:rsid w:val="00E20DEF"/>
    <w:rsid w:val="00E318C2"/>
    <w:rsid w:val="00E33C6F"/>
    <w:rsid w:val="00E34974"/>
    <w:rsid w:val="00E478EE"/>
    <w:rsid w:val="00E657D6"/>
    <w:rsid w:val="00ED11D5"/>
    <w:rsid w:val="00EF2F98"/>
    <w:rsid w:val="00F1110E"/>
    <w:rsid w:val="00F150E4"/>
    <w:rsid w:val="00F45AF4"/>
    <w:rsid w:val="00F558C0"/>
    <w:rsid w:val="00F60E17"/>
    <w:rsid w:val="00F66AB5"/>
    <w:rsid w:val="00F70E7D"/>
    <w:rsid w:val="00F73E7C"/>
    <w:rsid w:val="00F845BE"/>
    <w:rsid w:val="00FD11C9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1237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12</cp:revision>
  <dcterms:created xsi:type="dcterms:W3CDTF">2026-04-07T08:26:00Z</dcterms:created>
  <dcterms:modified xsi:type="dcterms:W3CDTF">2026-04-13T08:06:00Z</dcterms:modified>
</cp:coreProperties>
</file>